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B" w:rsidRDefault="00C40EDB" w:rsidP="004E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39AF" w:rsidRDefault="004E39AF" w:rsidP="004E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>Тема 1. Грамотна комунікація як запорука порозуміння та продуктивності</w:t>
      </w:r>
    </w:p>
    <w:p w:rsidR="00C40EDB" w:rsidRPr="004E39AF" w:rsidRDefault="00C40EDB" w:rsidP="004E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DF7" w:rsidRDefault="004E39AF" w:rsidP="004E39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1.2. </w:t>
      </w:r>
      <w:r w:rsidR="00002DF7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ким, коли і як </w:t>
      </w:r>
      <w:proofErr w:type="spellStart"/>
      <w:r w:rsidR="00002DF7" w:rsidRPr="004E39AF">
        <w:rPr>
          <w:rFonts w:ascii="Times New Roman" w:hAnsi="Times New Roman" w:cs="Times New Roman"/>
          <w:b/>
          <w:sz w:val="24"/>
          <w:szCs w:val="24"/>
          <w:lang w:val="uk-UA"/>
        </w:rPr>
        <w:t>комунікувати</w:t>
      </w:r>
      <w:proofErr w:type="spellEnd"/>
      <w:r w:rsidR="00002DF7" w:rsidRPr="004E39AF">
        <w:rPr>
          <w:rFonts w:ascii="Times New Roman" w:hAnsi="Times New Roman" w:cs="Times New Roman"/>
          <w:b/>
          <w:sz w:val="24"/>
          <w:szCs w:val="24"/>
          <w:lang w:val="uk-UA"/>
        </w:rPr>
        <w:t>: вн</w:t>
      </w:r>
      <w:r w:rsidR="00E159EA" w:rsidRPr="004E39AF">
        <w:rPr>
          <w:rFonts w:ascii="Times New Roman" w:hAnsi="Times New Roman" w:cs="Times New Roman"/>
          <w:b/>
          <w:sz w:val="24"/>
          <w:szCs w:val="24"/>
          <w:lang w:val="uk-UA"/>
        </w:rPr>
        <w:t>утрішня та зовнішня комунікації</w:t>
      </w:r>
    </w:p>
    <w:p w:rsidR="004E39AF" w:rsidRDefault="004E39AF" w:rsidP="004E39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розглянемо:</w:t>
      </w:r>
    </w:p>
    <w:p w:rsidR="004E39AF" w:rsidRDefault="004E39AF" w:rsidP="004E39AF">
      <w:pPr>
        <w:pStyle w:val="a4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Як виокремити цільову аудиторію?</w:t>
      </w:r>
    </w:p>
    <w:p w:rsidR="004E39AF" w:rsidRDefault="004E39AF" w:rsidP="004E39AF">
      <w:pPr>
        <w:pStyle w:val="a4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необхідно для підтримки внутрішніх комунікацій?</w:t>
      </w:r>
    </w:p>
    <w:p w:rsidR="004E39AF" w:rsidRDefault="008D3346" w:rsidP="004E39AF">
      <w:pPr>
        <w:pStyle w:val="a4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 є ознаки зовнішньої цільової аудиторії?</w:t>
      </w:r>
    </w:p>
    <w:p w:rsidR="008D3346" w:rsidRPr="004E39AF" w:rsidRDefault="008D3346" w:rsidP="004E39AF">
      <w:pPr>
        <w:pStyle w:val="a4"/>
        <w:numPr>
          <w:ilvl w:val="0"/>
          <w:numId w:val="2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Типові ЦА для громади </w:t>
      </w:r>
    </w:p>
    <w:p w:rsidR="004E39AF" w:rsidRPr="004E39AF" w:rsidRDefault="004E39AF" w:rsidP="004E39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2DF7" w:rsidRPr="004E39AF" w:rsidRDefault="004E39AF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02DF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омунікації та комунікація потрібні як окремій людині, так і в цілому громаді. </w:t>
      </w:r>
      <w:r>
        <w:rPr>
          <w:rFonts w:ascii="Times New Roman" w:hAnsi="Times New Roman" w:cs="Times New Roman"/>
          <w:sz w:val="24"/>
          <w:szCs w:val="24"/>
          <w:lang w:val="uk-UA"/>
        </w:rPr>
        <w:t>Зважаючи на те</w:t>
      </w:r>
      <w:r w:rsidR="00002DF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, що поняття ці </w:t>
      </w:r>
      <w:r w:rsidR="00E159EA" w:rsidRPr="004E39AF">
        <w:rPr>
          <w:rFonts w:ascii="Times New Roman" w:hAnsi="Times New Roman" w:cs="Times New Roman"/>
          <w:sz w:val="24"/>
          <w:szCs w:val="24"/>
          <w:lang w:val="uk-UA"/>
        </w:rPr>
        <w:t>доволі</w:t>
      </w:r>
      <w:r w:rsidR="00002DF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розлогі і всеосяжні, та ще і в кожній галузі мають свої особливості, чим конкретніше ми зараз поставимо собі завдання, чим чіткіше вималюємо рамки, тим легше буде працювати в майбутньому і досягати бажаних результатів.</w:t>
      </w:r>
    </w:p>
    <w:p w:rsidR="008410E7" w:rsidRPr="004E39AF" w:rsidRDefault="00B55140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Перше, що радять фахівці – розділити всі комунікації на дві великі групи: внутрішні комунікації і зовнішні. Де саме буде проходити лінія розподілу – вирішувати лише вам, бо у випадку </w:t>
      </w:r>
      <w:r w:rsidR="004E39A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це не так легко, як у випадку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10E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чи установ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10E7" w:rsidRPr="004E39AF">
        <w:rPr>
          <w:rFonts w:ascii="Times New Roman" w:hAnsi="Times New Roman" w:cs="Times New Roman"/>
          <w:sz w:val="24"/>
          <w:szCs w:val="24"/>
          <w:lang w:val="uk-UA"/>
        </w:rPr>
        <w:t>От, наприклад, для школи характерним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410E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можна вважати такі цільові аудиторії (або іноді говорять цільові групи):</w:t>
      </w:r>
    </w:p>
    <w:p w:rsidR="008410E7" w:rsidRPr="004E39AF" w:rsidRDefault="008410E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· Учні/учениці · Батьки учнів · Педагогічний колектив · Адміністрація (керівництво закладу,</w:t>
      </w:r>
      <w:r w:rsidR="00A42E19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департамент освіти тощо) · Партнери (неурядові організації, комерційні підприємства, інші навчальні заклади) · Випускники/ці · Міська громада</w:t>
      </w:r>
      <w:r w:rsidR="00A42E19" w:rsidRPr="004E39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66B2" w:rsidRPr="00983270" w:rsidRDefault="00A42E19" w:rsidP="00983270">
      <w:pPr>
        <w:spacing w:line="240" w:lineRule="auto"/>
        <w:ind w:firstLine="709"/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Тут все зрозуміло: учні, пед</w:t>
      </w:r>
      <w:r w:rsidR="00255ABF">
        <w:rPr>
          <w:rFonts w:ascii="Times New Roman" w:hAnsi="Times New Roman" w:cs="Times New Roman"/>
          <w:sz w:val="24"/>
          <w:szCs w:val="24"/>
          <w:lang w:val="uk-UA"/>
        </w:rPr>
        <w:t xml:space="preserve">агогічний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колектив і адміністрація школи – внутрішні аудиторії, а батьки, випускники, партнери і громада – зовнішні. А як у вас? Якщо роздивлятися ТГ як монолітний суб’єкт, то вся вона – внутрішня ЦА. Але чи буде це правильно? Бо є ж окремі групи зсередини: адміністрація (керівництво), депутати, освітяни, медики, пільговики. </w:t>
      </w:r>
      <w:r w:rsidR="00DC66B2" w:rsidRPr="004E39AF">
        <w:rPr>
          <w:rFonts w:ascii="Times New Roman" w:hAnsi="Times New Roman" w:cs="Times New Roman"/>
          <w:sz w:val="24"/>
          <w:szCs w:val="24"/>
          <w:lang w:val="uk-UA"/>
        </w:rPr>
        <w:t>Цей процес подрібнення можна продовжуват</w:t>
      </w:r>
      <w:r w:rsidR="004E39AF">
        <w:rPr>
          <w:rFonts w:ascii="Times New Roman" w:hAnsi="Times New Roman" w:cs="Times New Roman"/>
          <w:sz w:val="24"/>
          <w:szCs w:val="24"/>
          <w:lang w:val="uk-UA"/>
        </w:rPr>
        <w:t xml:space="preserve">и. Наприклад, </w:t>
      </w:r>
      <w:r w:rsidR="00424B0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адміністрацію </w:t>
      </w:r>
      <w:r w:rsidR="00DC66B2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ТГ (офіс) можна також </w:t>
      </w:r>
      <w:r w:rsidR="004E39AF">
        <w:rPr>
          <w:rFonts w:ascii="Times New Roman" w:hAnsi="Times New Roman" w:cs="Times New Roman"/>
          <w:sz w:val="24"/>
          <w:szCs w:val="24"/>
          <w:lang w:val="uk-UA"/>
        </w:rPr>
        <w:t>поділити</w:t>
      </w:r>
      <w:r w:rsidR="00DC66B2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на керівництво</w:t>
      </w:r>
      <w:r w:rsidR="00983270">
        <w:rPr>
          <w:rFonts w:ascii="Times New Roman" w:hAnsi="Times New Roman" w:cs="Times New Roman"/>
          <w:sz w:val="24"/>
          <w:szCs w:val="24"/>
          <w:lang w:val="uk-UA"/>
        </w:rPr>
        <w:t xml:space="preserve"> (менеджерів)</w:t>
      </w:r>
      <w:r w:rsidR="00DC66B2" w:rsidRPr="004E39AF">
        <w:rPr>
          <w:rFonts w:ascii="Times New Roman" w:hAnsi="Times New Roman" w:cs="Times New Roman"/>
          <w:sz w:val="24"/>
          <w:szCs w:val="24"/>
          <w:lang w:val="uk-UA"/>
        </w:rPr>
        <w:t>, офісних співробітників</w:t>
      </w:r>
      <w:r w:rsidR="00983270">
        <w:rPr>
          <w:rFonts w:ascii="Times New Roman" w:hAnsi="Times New Roman" w:cs="Times New Roman"/>
          <w:sz w:val="24"/>
          <w:szCs w:val="24"/>
          <w:lang w:val="uk-UA"/>
        </w:rPr>
        <w:t xml:space="preserve"> (середню ланку)</w:t>
      </w:r>
      <w:r w:rsidR="00DC66B2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, технічний персонал, водіїв… </w:t>
      </w:r>
      <w:r w:rsidR="0098327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Отже, як тільки ви бачите, що є </w:t>
      </w:r>
      <w:r w:rsidR="00983270" w:rsidRPr="004E39AF">
        <w:rPr>
          <w:rFonts w:ascii="Times New Roman" w:hAnsi="Times New Roman" w:cs="Times New Roman"/>
          <w:b/>
          <w:sz w:val="24"/>
          <w:szCs w:val="24"/>
          <w:lang w:val="uk-UA"/>
        </w:rPr>
        <w:t>більш-менш стала група людей зі спільними інтересами і при цьому їхні потреби і інтереси відрізняються від інших – це означає, що ви виокремили певну цільову групу (аудиторію).</w:t>
      </w:r>
      <w:r w:rsidR="00983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3270" w:rsidRPr="00983270">
        <w:rPr>
          <w:rFonts w:ascii="Times New Roman" w:hAnsi="Times New Roman" w:cs="Times New Roman"/>
          <w:sz w:val="24"/>
          <w:szCs w:val="24"/>
          <w:lang w:val="uk-UA"/>
        </w:rPr>
        <w:t>Цей принцип стосується як внутрішніх, так і зовнішніх ЦА.</w:t>
      </w:r>
    </w:p>
    <w:p w:rsidR="00983270" w:rsidRPr="00983270" w:rsidRDefault="00DC66B2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Чим більшою є кількість співробітників у будь-якій установі, тим більших зусиль потребує організація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внутрішніх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комунікації. </w:t>
      </w:r>
      <w:r w:rsidR="00552B31" w:rsidRPr="004E39AF">
        <w:rPr>
          <w:rFonts w:ascii="Times New Roman" w:hAnsi="Times New Roman" w:cs="Times New Roman"/>
          <w:sz w:val="24"/>
          <w:szCs w:val="24"/>
          <w:lang w:val="uk-UA"/>
        </w:rPr>
        <w:t>Не випадково деякі великі корпорації маю</w:t>
      </w:r>
      <w:r w:rsidR="00983270">
        <w:rPr>
          <w:rFonts w:ascii="Times New Roman" w:hAnsi="Times New Roman" w:cs="Times New Roman"/>
          <w:sz w:val="24"/>
          <w:szCs w:val="24"/>
          <w:lang w:val="uk-UA"/>
        </w:rPr>
        <w:t xml:space="preserve">ть навіть корпоративні видання. Задля того, щоб </w:t>
      </w:r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>підтрим</w:t>
      </w:r>
      <w:r w:rsidR="00983270">
        <w:rPr>
          <w:rFonts w:ascii="Times New Roman" w:hAnsi="Times New Roman" w:cs="Times New Roman"/>
          <w:b/>
          <w:sz w:val="24"/>
          <w:szCs w:val="24"/>
          <w:lang w:val="uk-UA"/>
        </w:rPr>
        <w:t>увати ефективні</w:t>
      </w:r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комунікації в </w:t>
      </w:r>
      <w:r w:rsidR="00983270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 (офісі) громади, достатньо</w:t>
      </w:r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знати, хто за що відповідає, обмінятись номерами телефонів один </w:t>
      </w:r>
      <w:r w:rsidR="008D48A0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>одн</w:t>
      </w:r>
      <w:r w:rsidR="008D48A0" w:rsidRPr="004E39AF">
        <w:rPr>
          <w:rFonts w:ascii="Times New Roman" w:hAnsi="Times New Roman" w:cs="Times New Roman"/>
          <w:b/>
          <w:sz w:val="24"/>
          <w:szCs w:val="24"/>
          <w:lang w:val="uk-UA"/>
        </w:rPr>
        <w:t>им чи зробити невеличкий довідник</w:t>
      </w:r>
      <w:r w:rsidR="00983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мати внутрішній чат в </w:t>
      </w:r>
      <w:proofErr w:type="spellStart"/>
      <w:r w:rsidR="0098327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</w:t>
      </w:r>
      <w:r w:rsidR="00983270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="00552B31" w:rsidRPr="004E39AF">
        <w:rPr>
          <w:rFonts w:ascii="Times New Roman" w:hAnsi="Times New Roman" w:cs="Times New Roman"/>
          <w:b/>
          <w:sz w:val="24"/>
          <w:szCs w:val="24"/>
          <w:lang w:val="uk-UA"/>
        </w:rPr>
        <w:t>, а також періодично збиратись на наради чи планерки</w:t>
      </w:r>
      <w:r w:rsidR="00552B31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84F37" w:rsidRPr="004E39AF">
        <w:rPr>
          <w:rFonts w:ascii="Times New Roman" w:hAnsi="Times New Roman" w:cs="Times New Roman"/>
          <w:sz w:val="24"/>
          <w:szCs w:val="24"/>
          <w:lang w:val="uk-UA"/>
        </w:rPr>
        <w:t>Зазвичай відповідальним за такі комунікації в адміністрації ТГ буває або власне голова, або його помічник чи секретар/</w:t>
      </w:r>
      <w:proofErr w:type="spellStart"/>
      <w:r w:rsidR="00F84F37" w:rsidRPr="004E39AF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F84F37" w:rsidRPr="004E39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Тобто це не та людина, яка бере на себе зв’язки із зовнішнім світом</w:t>
      </w:r>
      <w:r w:rsidR="00983270" w:rsidRPr="00983270">
        <w:rPr>
          <w:rFonts w:ascii="Times New Roman" w:hAnsi="Times New Roman" w:cs="Times New Roman"/>
          <w:sz w:val="24"/>
          <w:szCs w:val="24"/>
        </w:rPr>
        <w:t>/</w:t>
      </w:r>
    </w:p>
    <w:p w:rsidR="008B2012" w:rsidRPr="008D3346" w:rsidRDefault="00F84F37" w:rsidP="00E159EA">
      <w:pPr>
        <w:spacing w:line="240" w:lineRule="auto"/>
        <w:ind w:firstLine="709"/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lastRenderedPageBreak/>
        <w:t>Отже,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переміжний висновок: </w:t>
      </w:r>
      <w:r w:rsidR="00B55140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дві частини цілого (внутрішня і зовнішня) не є монолітними, і в свою чергу також складаються з багатьох елементів, які ми будемо називати певними цільовими аудиторіями. 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Загалом кожна з них водночас </w:t>
      </w:r>
      <w:r w:rsidR="002C2517" w:rsidRPr="004E39AF">
        <w:rPr>
          <w:rFonts w:ascii="Times New Roman" w:hAnsi="Times New Roman" w:cs="Times New Roman"/>
          <w:sz w:val="24"/>
          <w:szCs w:val="24"/>
          <w:lang w:val="uk-UA"/>
        </w:rPr>
        <w:t>відповідатиме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517" w:rsidRPr="004E39AF">
        <w:rPr>
          <w:rFonts w:ascii="Times New Roman" w:hAnsi="Times New Roman" w:cs="Times New Roman"/>
          <w:sz w:val="24"/>
          <w:szCs w:val="24"/>
          <w:lang w:val="uk-UA"/>
        </w:rPr>
        <w:t>таким вимогам-критеріям:</w:t>
      </w:r>
      <w:r w:rsidR="00424B0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2517" w:rsidRPr="004E39AF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• це та соціальна</w:t>
      </w:r>
      <w:r w:rsidR="008D3346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 людей, з якими ваша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ТГ постійно підтримує партнерські зв’язки, або ж ті,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хто певним чином впливають на ситуацію, в якій живе і працює громада;</w:t>
      </w:r>
    </w:p>
    <w:p w:rsidR="002C2517" w:rsidRPr="004E39AF" w:rsidRDefault="002C2517" w:rsidP="008D48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• це соціальна категорія людей, чия думка про вашу </w:t>
      </w:r>
      <w:r w:rsidR="008D3346">
        <w:rPr>
          <w:rFonts w:ascii="Times New Roman" w:hAnsi="Times New Roman" w:cs="Times New Roman"/>
          <w:sz w:val="24"/>
          <w:szCs w:val="24"/>
          <w:lang w:val="uk-UA"/>
        </w:rPr>
        <w:t>громаду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відіграє важливу роль у формуванні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громадс</w:t>
      </w:r>
      <w:r w:rsidR="008D3346">
        <w:rPr>
          <w:rFonts w:ascii="Times New Roman" w:hAnsi="Times New Roman" w:cs="Times New Roman"/>
          <w:sz w:val="24"/>
          <w:szCs w:val="24"/>
          <w:lang w:val="uk-UA"/>
        </w:rPr>
        <w:t xml:space="preserve">ької думки про діяльність усіх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ТГ в цілому;</w:t>
      </w:r>
    </w:p>
    <w:p w:rsidR="002C2517" w:rsidRPr="004E39AF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• це соціальна категорія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D3346">
        <w:rPr>
          <w:rFonts w:ascii="Times New Roman" w:hAnsi="Times New Roman" w:cs="Times New Roman"/>
          <w:sz w:val="24"/>
          <w:szCs w:val="24"/>
          <w:lang w:val="uk-UA"/>
        </w:rPr>
        <w:t xml:space="preserve"> яку хоче впливати керівництво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ТГ.</w:t>
      </w:r>
    </w:p>
    <w:p w:rsidR="008D3346" w:rsidRPr="008D3346" w:rsidRDefault="008D3346" w:rsidP="00E159EA">
      <w:pPr>
        <w:spacing w:line="240" w:lineRule="auto"/>
        <w:ind w:firstLine="709"/>
        <w:jc w:val="both"/>
        <w:rPr>
          <w:rFonts w:ascii="Arial" w:hAnsi="Arial" w:cs="Arial"/>
          <w:color w:val="050505"/>
          <w:sz w:val="24"/>
          <w:szCs w:val="24"/>
          <w:u w:val="single"/>
          <w:shd w:val="clear" w:color="auto" w:fill="E4E6EB"/>
          <w:lang w:val="uk-UA"/>
        </w:rPr>
      </w:pPr>
      <w:r w:rsidRPr="008D3346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r w:rsidR="002C2517" w:rsidRPr="008D33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сновні цільові аудиторії </w:t>
      </w:r>
      <w:r w:rsidR="008D48A0" w:rsidRPr="008D3346">
        <w:rPr>
          <w:rFonts w:ascii="Times New Roman" w:hAnsi="Times New Roman" w:cs="Times New Roman"/>
          <w:sz w:val="24"/>
          <w:szCs w:val="24"/>
          <w:u w:val="single"/>
          <w:lang w:val="uk-UA"/>
        </w:rPr>
        <w:t>типові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для будь-якої </w:t>
      </w:r>
      <w:r w:rsidR="002C2517" w:rsidRPr="008D3346">
        <w:rPr>
          <w:rFonts w:ascii="Times New Roman" w:hAnsi="Times New Roman" w:cs="Times New Roman"/>
          <w:sz w:val="24"/>
          <w:szCs w:val="24"/>
          <w:u w:val="single"/>
          <w:lang w:val="uk-UA"/>
        </w:rPr>
        <w:t>ТГ в Україні:</w:t>
      </w:r>
    </w:p>
    <w:p w:rsidR="008C2C27" w:rsidRPr="004E39AF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• «місцева державна влада» – це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живі конкретні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люди, які безпосередньо впливають на політичну та соціально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ек</w:t>
      </w:r>
      <w:r w:rsidR="008D3346">
        <w:rPr>
          <w:rFonts w:ascii="Times New Roman" w:hAnsi="Times New Roman" w:cs="Times New Roman"/>
          <w:sz w:val="24"/>
          <w:szCs w:val="24"/>
          <w:lang w:val="uk-UA"/>
        </w:rPr>
        <w:t xml:space="preserve">ономічну ситуацію на території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ТГ.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голови районних та обласних державних адміністрацій, виконкомів рад усіх рівнів, керівництво державних установ, державних закладів та служб тощо.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Представники органів влади – ключовий і визначний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прошарок, від якого значною мірою залежать умови існування та розвитку кожної 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2517" w:rsidRPr="004E39AF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«недержавний сектор»: цю ЦА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утворюють люди, які можуть допомогти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 xml:space="preserve">і підтримати діяльність вашої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ТГ засобами недержавної підтримки: члени громадських організацій, волонтери, благодійники з місцевих бізнесових кіл тощо. А ще – люди, які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суттєво впливають на думку інших, наприклад – духовні отці різних конфесій;</w:t>
      </w:r>
    </w:p>
    <w:p w:rsidR="00770CB3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>«місцеве населення», тобто т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, хто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мешкає б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>езпосередньо на території вашої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громади. Переважна частина мешканців – членів громади – ус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 xml:space="preserve">відомлює місію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ТГ, її завдання і цілі;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найактивніші з них співпрацюють із керівництвом і завжди готові прийти йому на допомогу. Але ж є й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пасивні («моя хата скраю»). Вам важливо заручитися якнайширшою підтримкою перших і посилити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соціальні мотивації (акти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>візувати) других.</w:t>
      </w:r>
    </w:p>
    <w:p w:rsidR="002C2517" w:rsidRPr="004E39AF" w:rsidRDefault="002C2517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•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«інвестори» –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ще одна визначна цільова аудиторія, підтримка якої є вкрай потрібною і важливою вашій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>громаді сьогодні, на етапі становлення і розвитку – це («</w:t>
      </w:r>
      <w:proofErr w:type="spellStart"/>
      <w:r w:rsidRPr="004E39AF">
        <w:rPr>
          <w:rFonts w:ascii="Times New Roman" w:hAnsi="Times New Roman" w:cs="Times New Roman"/>
          <w:sz w:val="24"/>
          <w:szCs w:val="24"/>
          <w:lang w:val="uk-UA"/>
        </w:rPr>
        <w:t>грантодавці</w:t>
      </w:r>
      <w:proofErr w:type="spellEnd"/>
      <w:r w:rsidRPr="004E39AF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5514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«спонсори»);</w:t>
      </w:r>
    </w:p>
    <w:p w:rsidR="008C2C27" w:rsidRPr="004E39AF" w:rsidRDefault="00E159EA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24B07" w:rsidRPr="004E39AF">
        <w:rPr>
          <w:rFonts w:ascii="Times New Roman" w:hAnsi="Times New Roman" w:cs="Times New Roman"/>
          <w:sz w:val="24"/>
          <w:szCs w:val="24"/>
          <w:lang w:val="uk-UA"/>
        </w:rPr>
        <w:t>журналісти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Існує навіть підрозділ в </w:t>
      </w:r>
      <w:proofErr w:type="spellStart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>па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>лік</w:t>
      </w:r>
      <w:proofErr w:type="spellEnd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– медіа </w:t>
      </w:r>
      <w:proofErr w:type="spellStart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(зв’язки із медіа). І це не випадково. Бо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саме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 здатні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8A0" w:rsidRPr="004E39AF">
        <w:rPr>
          <w:rFonts w:ascii="Times New Roman" w:hAnsi="Times New Roman" w:cs="Times New Roman"/>
          <w:sz w:val="24"/>
          <w:szCs w:val="24"/>
          <w:lang w:val="uk-UA"/>
        </w:rPr>
        <w:t>опе</w:t>
      </w:r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ративно розповсюдити потрібні </w:t>
      </w:r>
      <w:proofErr w:type="spellStart"/>
      <w:r w:rsidRPr="004E39AF">
        <w:rPr>
          <w:rFonts w:ascii="Times New Roman" w:hAnsi="Times New Roman" w:cs="Times New Roman"/>
          <w:sz w:val="24"/>
          <w:szCs w:val="24"/>
          <w:lang w:val="uk-UA"/>
        </w:rPr>
        <w:t>меседжі</w:t>
      </w:r>
      <w:proofErr w:type="spellEnd"/>
      <w:r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серед потрібних верств населення, допомогти сформувати імідж і підтримати (а також зіпсувати!) репутацію. </w:t>
      </w:r>
      <w:r w:rsidR="008C2C2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0CB3" w:rsidRDefault="008C2C27" w:rsidP="00770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Отже, кожну з цих цільових груп варто виокремити, охарактеризувати і в ідеалі – </w:t>
      </w:r>
      <w:r w:rsidR="008D48A0" w:rsidRPr="004E39AF">
        <w:rPr>
          <w:rFonts w:ascii="Times New Roman" w:hAnsi="Times New Roman" w:cs="Times New Roman"/>
          <w:b/>
          <w:sz w:val="24"/>
          <w:szCs w:val="24"/>
          <w:lang w:val="uk-UA"/>
        </w:rPr>
        <w:t>задовольнити</w:t>
      </w: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 потреби. А для цього –</w:t>
      </w:r>
      <w:r w:rsidR="00E159EA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встановити і підтримувати з ними </w:t>
      </w:r>
      <w:r w:rsidR="00E159EA" w:rsidRPr="004E3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регулярні </w:t>
      </w: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>зв’язки (</w:t>
      </w:r>
      <w:r w:rsidR="002C2517" w:rsidRPr="004E39AF">
        <w:rPr>
          <w:rFonts w:ascii="Times New Roman" w:hAnsi="Times New Roman" w:cs="Times New Roman"/>
          <w:b/>
          <w:sz w:val="24"/>
          <w:szCs w:val="24"/>
          <w:lang w:val="uk-UA"/>
        </w:rPr>
        <w:t>комунікації</w:t>
      </w:r>
      <w:r w:rsidRPr="004E39A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E159EA" w:rsidRPr="004E39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C2517" w:rsidRPr="004E3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59EA" w:rsidRPr="004E39A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C2517" w:rsidRPr="004E39AF">
        <w:rPr>
          <w:rFonts w:ascii="Times New Roman" w:hAnsi="Times New Roman" w:cs="Times New Roman"/>
          <w:sz w:val="24"/>
          <w:szCs w:val="24"/>
          <w:lang w:val="uk-UA"/>
        </w:rPr>
        <w:t>еред важливих принципів комуніка</w:t>
      </w:r>
      <w:r w:rsidR="00770CB3">
        <w:rPr>
          <w:rFonts w:ascii="Times New Roman" w:hAnsi="Times New Roman" w:cs="Times New Roman"/>
          <w:sz w:val="24"/>
          <w:szCs w:val="24"/>
          <w:lang w:val="uk-UA"/>
        </w:rPr>
        <w:t>цій зазначимо основні:</w:t>
      </w:r>
    </w:p>
    <w:p w:rsidR="002C2517" w:rsidRPr="00770CB3" w:rsidRDefault="002C2517" w:rsidP="00770C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B3">
        <w:rPr>
          <w:rFonts w:ascii="Times New Roman" w:hAnsi="Times New Roman" w:cs="Times New Roman"/>
          <w:sz w:val="24"/>
          <w:szCs w:val="24"/>
          <w:lang w:val="uk-UA"/>
        </w:rPr>
        <w:t>повнота, правдивість і регулярність комунікацій,</w:t>
      </w:r>
    </w:p>
    <w:p w:rsidR="00E159EA" w:rsidRPr="004E39AF" w:rsidRDefault="002C2517" w:rsidP="00770C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індивідуальний та інноваційний підхід у виборі комунікаційних каналів,</w:t>
      </w:r>
    </w:p>
    <w:p w:rsidR="00E159EA" w:rsidRPr="004E39AF" w:rsidRDefault="002C2517" w:rsidP="00770C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9AF">
        <w:rPr>
          <w:rFonts w:ascii="Times New Roman" w:hAnsi="Times New Roman" w:cs="Times New Roman"/>
          <w:sz w:val="24"/>
          <w:szCs w:val="24"/>
          <w:lang w:val="uk-UA"/>
        </w:rPr>
        <w:t>креативність подання повідомлень,</w:t>
      </w:r>
    </w:p>
    <w:p w:rsidR="00131739" w:rsidRPr="00770CB3" w:rsidRDefault="002C2517" w:rsidP="00770C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B3">
        <w:rPr>
          <w:rFonts w:ascii="Times New Roman" w:hAnsi="Times New Roman" w:cs="Times New Roman"/>
          <w:sz w:val="24"/>
          <w:szCs w:val="24"/>
          <w:lang w:val="uk-UA"/>
        </w:rPr>
        <w:t>зворотній зв’язок.</w:t>
      </w:r>
    </w:p>
    <w:p w:rsidR="00A42E19" w:rsidRPr="00770CB3" w:rsidRDefault="00770CB3" w:rsidP="00DC7D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детально про зовнішні і внутрішні комунікації, а також про те, як створити портрет цільової аудиторії, можна почитати в статті </w:t>
      </w:r>
      <w:hyperlink r:id="rId5" w:history="1">
        <w:r w:rsidRPr="00770CB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«Комунікаційна стратегія громади: тренд чи необхідність?»</w:t>
        </w:r>
      </w:hyperlink>
      <w:r w:rsidR="00DC7DF7">
        <w:rPr>
          <w:rFonts w:ascii="Times New Roman" w:hAnsi="Times New Roman" w:cs="Times New Roman"/>
          <w:sz w:val="24"/>
          <w:szCs w:val="24"/>
          <w:lang w:val="uk-UA"/>
        </w:rPr>
        <w:t xml:space="preserve">. Ось тут можна подивитись, на які групи розподілила громадськість </w:t>
      </w:r>
      <w:hyperlink r:id="rId6" w:history="1">
        <w:proofErr w:type="spellStart"/>
        <w:r w:rsidR="00DC7DF7" w:rsidRPr="00DC7DF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Великокучурівска</w:t>
        </w:r>
        <w:proofErr w:type="spellEnd"/>
        <w:r w:rsidR="00DC7DF7" w:rsidRPr="00DC7DF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сільська територіальна громада</w:t>
        </w:r>
      </w:hyperlink>
      <w:r w:rsidR="00DC7DF7">
        <w:rPr>
          <w:rFonts w:ascii="Times New Roman" w:hAnsi="Times New Roman" w:cs="Times New Roman"/>
          <w:sz w:val="24"/>
          <w:szCs w:val="24"/>
          <w:lang w:val="uk-UA"/>
        </w:rPr>
        <w:t xml:space="preserve"> (Чернівецька область). </w:t>
      </w:r>
    </w:p>
    <w:p w:rsidR="00A42E19" w:rsidRPr="00770CB3" w:rsidRDefault="00770CB3" w:rsidP="00E159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0C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З</w:t>
      </w:r>
      <w:r w:rsidR="00A42E19" w:rsidRPr="00770C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авдання</w:t>
      </w:r>
      <w:r w:rsidRPr="00770C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 лекції 1.2. </w:t>
      </w:r>
    </w:p>
    <w:p w:rsidR="00A42E19" w:rsidRPr="00770CB3" w:rsidRDefault="00A42E19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CB3">
        <w:rPr>
          <w:rFonts w:ascii="Times New Roman" w:hAnsi="Times New Roman" w:cs="Times New Roman"/>
          <w:sz w:val="24"/>
          <w:szCs w:val="24"/>
          <w:lang w:val="uk-UA"/>
        </w:rPr>
        <w:t>За прикладом, наведеним в конспекті (про школу) розподіліть по цільових групах всіх, з ким ви маєте побудувати певні відносини</w:t>
      </w:r>
      <w:r w:rsidR="00D60F7B" w:rsidRPr="00770CB3">
        <w:rPr>
          <w:rFonts w:ascii="Times New Roman" w:hAnsi="Times New Roman" w:cs="Times New Roman"/>
          <w:sz w:val="24"/>
          <w:szCs w:val="24"/>
          <w:lang w:val="uk-UA"/>
        </w:rPr>
        <w:t xml:space="preserve"> (зовнішні комунікації)</w:t>
      </w:r>
      <w:r w:rsidRPr="00770CB3">
        <w:rPr>
          <w:rFonts w:ascii="Times New Roman" w:hAnsi="Times New Roman" w:cs="Times New Roman"/>
          <w:sz w:val="24"/>
          <w:szCs w:val="24"/>
          <w:lang w:val="uk-UA"/>
        </w:rPr>
        <w:t>. Коротко о</w:t>
      </w:r>
      <w:r w:rsidR="00D60F7B" w:rsidRPr="00770CB3">
        <w:rPr>
          <w:rFonts w:ascii="Times New Roman" w:hAnsi="Times New Roman" w:cs="Times New Roman"/>
          <w:sz w:val="24"/>
          <w:szCs w:val="24"/>
          <w:lang w:val="uk-UA"/>
        </w:rPr>
        <w:t>характеризуйте</w:t>
      </w:r>
      <w:r w:rsidRPr="00770CB3">
        <w:rPr>
          <w:rFonts w:ascii="Times New Roman" w:hAnsi="Times New Roman" w:cs="Times New Roman"/>
          <w:sz w:val="24"/>
          <w:szCs w:val="24"/>
          <w:lang w:val="uk-UA"/>
        </w:rPr>
        <w:t xml:space="preserve"> кожну групу і спрогнозуйте її потреби, заповнивши таблицю</w:t>
      </w:r>
      <w:r w:rsidR="00D60F7B" w:rsidRPr="00770CB3">
        <w:rPr>
          <w:rFonts w:ascii="Times New Roman" w:hAnsi="Times New Roman" w:cs="Times New Roman"/>
          <w:sz w:val="24"/>
          <w:szCs w:val="24"/>
          <w:lang w:val="uk-UA"/>
        </w:rPr>
        <w:t>. Окремо</w:t>
      </w:r>
      <w:r w:rsidR="00770CB3" w:rsidRPr="00770CB3">
        <w:rPr>
          <w:rFonts w:ascii="Times New Roman" w:hAnsi="Times New Roman" w:cs="Times New Roman"/>
          <w:sz w:val="24"/>
          <w:szCs w:val="24"/>
          <w:lang w:val="uk-UA"/>
        </w:rPr>
        <w:t xml:space="preserve"> (не в таблиці)</w:t>
      </w:r>
      <w:r w:rsidR="00D60F7B" w:rsidRPr="00770CB3">
        <w:rPr>
          <w:rFonts w:ascii="Times New Roman" w:hAnsi="Times New Roman" w:cs="Times New Roman"/>
          <w:sz w:val="24"/>
          <w:szCs w:val="24"/>
          <w:lang w:val="uk-UA"/>
        </w:rPr>
        <w:t xml:space="preserve"> напишіть, з якими ЦА ви вже вибудували стосунки, які вважаєте перспективними, а де є проблеми.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2E19" w:rsidRPr="004E39AF" w:rsidTr="00A42E19">
        <w:tc>
          <w:tcPr>
            <w:tcW w:w="3190" w:type="dxa"/>
          </w:tcPr>
          <w:p w:rsidR="00A42E19" w:rsidRPr="00770CB3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група</w:t>
            </w:r>
          </w:p>
        </w:tc>
        <w:tc>
          <w:tcPr>
            <w:tcW w:w="3190" w:type="dxa"/>
          </w:tcPr>
          <w:p w:rsidR="00A42E19" w:rsidRPr="00770CB3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вона (хто це)?</w:t>
            </w:r>
          </w:p>
        </w:tc>
        <w:tc>
          <w:tcPr>
            <w:tcW w:w="3191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 хоче/потребує?</w:t>
            </w:r>
          </w:p>
        </w:tc>
      </w:tr>
      <w:tr w:rsidR="00A42E19" w:rsidRPr="004E39AF" w:rsidTr="00A42E19">
        <w:tc>
          <w:tcPr>
            <w:tcW w:w="3190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42E19" w:rsidRPr="00770CB3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E19" w:rsidRPr="004E39AF" w:rsidTr="00A42E19">
        <w:tc>
          <w:tcPr>
            <w:tcW w:w="3190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2E19" w:rsidRPr="004E39AF" w:rsidTr="00A42E19">
        <w:tc>
          <w:tcPr>
            <w:tcW w:w="3190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A42E19" w:rsidRPr="004E39AF" w:rsidRDefault="00A42E19" w:rsidP="00E159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70CB3" w:rsidRPr="00893A21" w:rsidRDefault="00770CB3" w:rsidP="00770CB3">
      <w:pPr>
        <w:pStyle w:val="a4"/>
        <w:spacing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:rsidR="00770CB3" w:rsidRDefault="00770CB3" w:rsidP="00770CB3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CB3" w:rsidRDefault="00770CB3" w:rsidP="00770CB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наша комунікація була ефективною, просимо в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відповіді на питання до цієї лекції слід створити файл </w:t>
      </w:r>
    </w:p>
    <w:p w:rsidR="00770CB3" w:rsidRDefault="00770CB3" w:rsidP="00770CB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населеного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пункту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70CB3" w:rsidRDefault="00770CB3" w:rsidP="00770CB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уявити, що завдання виконувала людина на прізвище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Краматорської громади, назва файлу має бути такою:1.2.Краматорськ.Горбенко.</w:t>
      </w:r>
    </w:p>
    <w:p w:rsidR="00770CB3" w:rsidRDefault="00770CB3" w:rsidP="00770CB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CB3" w:rsidRPr="00893A21" w:rsidRDefault="00770CB3" w:rsidP="00770CB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>Усього в курсі чотири теми, в кожній з яких по три лекції. Просимо для кожного завдання створювати окремий ф</w:t>
      </w:r>
      <w:r>
        <w:rPr>
          <w:rFonts w:ascii="Times New Roman" w:hAnsi="Times New Roman" w:cs="Times New Roman"/>
          <w:sz w:val="24"/>
          <w:szCs w:val="24"/>
          <w:lang w:val="uk-UA"/>
        </w:rPr>
        <w:t>айл і прикріпляти його до листа.</w:t>
      </w:r>
    </w:p>
    <w:p w:rsidR="00A42E19" w:rsidRPr="004E39AF" w:rsidRDefault="00A42E19" w:rsidP="00E159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42E19" w:rsidRPr="004E39AF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AB9"/>
    <w:multiLevelType w:val="hybridMultilevel"/>
    <w:tmpl w:val="9A1C96E2"/>
    <w:lvl w:ilvl="0" w:tplc="B27CE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301C"/>
    <w:multiLevelType w:val="hybridMultilevel"/>
    <w:tmpl w:val="C5E0C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517"/>
    <w:rsid w:val="00002DF7"/>
    <w:rsid w:val="00131739"/>
    <w:rsid w:val="00234C6B"/>
    <w:rsid w:val="00255ABF"/>
    <w:rsid w:val="00277A00"/>
    <w:rsid w:val="002C2517"/>
    <w:rsid w:val="00424B07"/>
    <w:rsid w:val="004E39AF"/>
    <w:rsid w:val="005040F5"/>
    <w:rsid w:val="00536A6A"/>
    <w:rsid w:val="005447C5"/>
    <w:rsid w:val="00552B31"/>
    <w:rsid w:val="005A0444"/>
    <w:rsid w:val="00650625"/>
    <w:rsid w:val="00752D3B"/>
    <w:rsid w:val="00770CB3"/>
    <w:rsid w:val="008410E7"/>
    <w:rsid w:val="008B2012"/>
    <w:rsid w:val="008C2C27"/>
    <w:rsid w:val="008D3346"/>
    <w:rsid w:val="008D48A0"/>
    <w:rsid w:val="00983270"/>
    <w:rsid w:val="00A42E19"/>
    <w:rsid w:val="00B55140"/>
    <w:rsid w:val="00C40EDB"/>
    <w:rsid w:val="00CA52BC"/>
    <w:rsid w:val="00D60F7B"/>
    <w:rsid w:val="00DC66B2"/>
    <w:rsid w:val="00DC7DF7"/>
    <w:rsid w:val="00E159EA"/>
    <w:rsid w:val="00F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9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okuchurivska.gromada.org.ua/cilova-auditoriya-ta-vidi-diyalnosti-1545692349/" TargetMode="External"/><Relationship Id="rId5" Type="http://schemas.openxmlformats.org/officeDocument/2006/relationships/hyperlink" Target="https://www.prostir.ua/?library=komunikatsijna-stratehiya-hromady-trend-chy-neobhidn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14</cp:revision>
  <dcterms:created xsi:type="dcterms:W3CDTF">2021-07-28T11:43:00Z</dcterms:created>
  <dcterms:modified xsi:type="dcterms:W3CDTF">2021-08-17T10:50:00Z</dcterms:modified>
</cp:coreProperties>
</file>